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198CA" w14:textId="6600EC90" w:rsidR="00F467B1" w:rsidRDefault="00000000">
      <w:pPr>
        <w:pStyle w:val="RIADateline"/>
      </w:pPr>
      <w:r>
        <w:rPr>
          <w:rStyle w:val="RIALabelText"/>
        </w:rPr>
        <w:t>MEDIA RELEASE · R&amp;IA-2026-048</w:t>
      </w:r>
      <w:r>
        <w:tab/>
      </w:r>
      <w:r w:rsidR="00033909">
        <w:t>1</w:t>
      </w:r>
      <w:r w:rsidR="008D30ED">
        <w:t>5</w:t>
      </w:r>
      <w:r>
        <w:t xml:space="preserve"> October 2026 · For immediate release</w:t>
      </w:r>
    </w:p>
    <w:p w14:paraId="70C90A32" w14:textId="77777777" w:rsidR="008D30ED" w:rsidRPr="008D30ED" w:rsidRDefault="008D30ED">
      <w:pPr>
        <w:pStyle w:val="RIAHeadline"/>
        <w:rPr>
          <w:sz w:val="24"/>
          <w:szCs w:val="24"/>
        </w:rPr>
      </w:pPr>
    </w:p>
    <w:p w14:paraId="7CDF5BB7" w14:textId="4C804AF9" w:rsidR="00F467B1" w:rsidRDefault="00000000">
      <w:pPr>
        <w:pStyle w:val="RIAHeadline"/>
      </w:pPr>
      <w:r>
        <w:t>Make every new home accessible, advocates tell Productivity Commission</w:t>
      </w:r>
    </w:p>
    <w:p w14:paraId="1FCE6F9F" w14:textId="4CB6A88E" w:rsidR="00F467B1" w:rsidRDefault="00000000">
      <w:pPr>
        <w:pStyle w:val="RIALead"/>
      </w:pPr>
      <w:r>
        <w:t>Rights &amp; Inclusion Australia (R&amp;IA</w:t>
      </w:r>
      <w:r w:rsidRPr="007928C3">
        <w:rPr>
          <w:b/>
          <w:bCs/>
        </w:rPr>
        <w:t>)</w:t>
      </w:r>
      <w:r>
        <w:t xml:space="preserve"> has asked the Productivity Commission to make accessible homes a </w:t>
      </w:r>
      <w:r w:rsidR="008D30ED">
        <w:t>mainstream</w:t>
      </w:r>
      <w:r>
        <w:t xml:space="preserve"> </w:t>
      </w:r>
      <w:r w:rsidR="008D30ED">
        <w:t xml:space="preserve">supply </w:t>
      </w:r>
      <w:r>
        <w:t>outcome of best-practice housing regulation, in its submission to the Commission’s Housing Supply Regulation inquiry.</w:t>
      </w:r>
    </w:p>
    <w:p w14:paraId="4D9CEF38" w14:textId="75314863" w:rsidR="00F467B1" w:rsidRDefault="00000000">
      <w:pPr>
        <w:pStyle w:val="RIABody"/>
      </w:pPr>
      <w:r>
        <w:t xml:space="preserve">One in five Australians has </w:t>
      </w:r>
      <w:r w:rsidR="008D30ED">
        <w:t xml:space="preserve">a </w:t>
      </w:r>
      <w:r>
        <w:t>disability, and there is a 60% chance that a new home will be occupied by a person with disability at some point in its life. Yet none of the four best-practice principles in the Commission’s Interim Report of 27 July 2026 mentions accessibility.</w:t>
      </w:r>
    </w:p>
    <w:p w14:paraId="189203A0" w14:textId="3EAC9C23" w:rsidR="00F467B1" w:rsidRDefault="00000000">
      <w:pPr>
        <w:pStyle w:val="RIAQuote"/>
      </w:pPr>
      <w:r>
        <w:t xml:space="preserve">“The Commission wants more homes, built faster. </w:t>
      </w:r>
      <w:r w:rsidR="007928C3">
        <w:t xml:space="preserve">But it shouldn’t be at any cost. </w:t>
      </w:r>
      <w:r>
        <w:t>We want those homes to work for the people who will live in them</w:t>
      </w:r>
      <w:r w:rsidR="007928C3">
        <w:t xml:space="preserve"> – which includes accessible design features.</w:t>
      </w:r>
      <w:r>
        <w:t xml:space="preserve"> The simplest and cheapest answer has been clear all along: make every new mainstream home accessible when it is built.”</w:t>
      </w:r>
      <w:r>
        <w:rPr>
          <w:rStyle w:val="RIAAttribution"/>
        </w:rPr>
        <w:br/>
        <w:t>R&amp;IA director Allan Hunter</w:t>
      </w:r>
    </w:p>
    <w:p w14:paraId="34A1C128" w14:textId="3DFF5503" w:rsidR="00F467B1" w:rsidRDefault="00000000">
      <w:pPr>
        <w:pStyle w:val="RIABody"/>
      </w:pPr>
      <w:r>
        <w:t>Independent estimates put the cost of</w:t>
      </w:r>
      <w:r w:rsidR="007928C3">
        <w:t xml:space="preserve"> meeting </w:t>
      </w:r>
      <w:r>
        <w:t>minimum accessibility requirements at about $5,400 for a new house and $7,700 for an apartment – around 1% of the build cos</w:t>
      </w:r>
      <w:r w:rsidR="007928C3">
        <w:t>t</w:t>
      </w:r>
      <w:r w:rsidR="00695F5A">
        <w:t xml:space="preserve"> and far cheaper than retrofitting</w:t>
      </w:r>
      <w:r w:rsidR="007928C3">
        <w:t xml:space="preserve">. </w:t>
      </w:r>
      <w:r>
        <w:t>Building industry claims of $44,000 a home combine energy efficiency and other costs</w:t>
      </w:r>
      <w:r w:rsidR="008D30ED">
        <w:t xml:space="preserve"> – </w:t>
      </w:r>
      <w:r>
        <w:t xml:space="preserve">the accessibility requirements account for closer to $10,500. England has required a visitable baseline in almost every new home since 2015; in London, 34% achieve </w:t>
      </w:r>
      <w:r w:rsidR="007928C3" w:rsidRPr="007928C3">
        <w:t>M4(2)</w:t>
      </w:r>
      <w:r>
        <w:t xml:space="preserve"> </w:t>
      </w:r>
      <w:r w:rsidR="007928C3" w:rsidRPr="007928C3">
        <w:rPr>
          <w:i/>
          <w:iCs/>
        </w:rPr>
        <w:t>accessible</w:t>
      </w:r>
      <w:r>
        <w:t xml:space="preserve"> </w:t>
      </w:r>
      <w:r>
        <w:rPr>
          <w:i/>
          <w:iCs/>
        </w:rPr>
        <w:t>and adaptable</w:t>
      </w:r>
      <w:r w:rsidR="007928C3" w:rsidRPr="007928C3">
        <w:t xml:space="preserve"> (</w:t>
      </w:r>
      <w:r w:rsidR="00616808">
        <w:t xml:space="preserve">LHA </w:t>
      </w:r>
      <w:r w:rsidR="007928C3" w:rsidRPr="007928C3">
        <w:t xml:space="preserve">Gold equivalent) </w:t>
      </w:r>
    </w:p>
    <w:p w14:paraId="3C7BDF91" w14:textId="156E5FBD" w:rsidR="00F467B1" w:rsidRDefault="00000000">
      <w:pPr>
        <w:pStyle w:val="RIABody"/>
      </w:pPr>
      <w:r>
        <w:t xml:space="preserve">In Australia, NSW and WA have not adopted the national </w:t>
      </w:r>
      <w:r w:rsidR="008D30ED">
        <w:t xml:space="preserve">accessible housing </w:t>
      </w:r>
      <w:r>
        <w:t>standard, and state variations and exemptions</w:t>
      </w:r>
      <w:r w:rsidR="00695F5A">
        <w:t xml:space="preserve"> </w:t>
      </w:r>
      <w:r w:rsidR="00616808">
        <w:t xml:space="preserve">results </w:t>
      </w:r>
      <w:r>
        <w:t>in too</w:t>
      </w:r>
      <w:r w:rsidR="00695F5A">
        <w:t xml:space="preserve"> </w:t>
      </w:r>
      <w:r>
        <w:t>few accessible homes, built to inconsistent standards.</w:t>
      </w:r>
    </w:p>
    <w:p w14:paraId="773C94D0" w14:textId="4D86FF51" w:rsidR="00F467B1" w:rsidRDefault="00000000">
      <w:pPr>
        <w:pStyle w:val="RIABody"/>
      </w:pPr>
      <w:r>
        <w:t xml:space="preserve">R&amp;IA </w:t>
      </w:r>
      <w:r w:rsidR="008D30ED">
        <w:t>asks</w:t>
      </w:r>
      <w:r>
        <w:t xml:space="preserve"> the Commission to</w:t>
      </w:r>
      <w:r w:rsidR="00C11CDE">
        <w:t xml:space="preserve"> acknowledge that everyone has a right to</w:t>
      </w:r>
      <w:r w:rsidR="00695F5A">
        <w:t xml:space="preserve"> a roof over their head</w:t>
      </w:r>
      <w:r>
        <w:t>, and to add a fifth principle</w:t>
      </w:r>
      <w:r w:rsidR="00C11CDE">
        <w:t xml:space="preserve">: </w:t>
      </w:r>
      <w:r w:rsidR="008D30ED">
        <w:t xml:space="preserve">that all </w:t>
      </w:r>
      <w:r>
        <w:t>new homes</w:t>
      </w:r>
      <w:r w:rsidR="00C11CDE">
        <w:t xml:space="preserve"> </w:t>
      </w:r>
      <w:r w:rsidR="008D30ED">
        <w:t xml:space="preserve">are </w:t>
      </w:r>
      <w:r>
        <w:t xml:space="preserve">accessible. </w:t>
      </w:r>
      <w:r w:rsidR="008D30ED">
        <w:t>R&amp;IA</w:t>
      </w:r>
      <w:r>
        <w:t xml:space="preserve"> also </w:t>
      </w:r>
      <w:r w:rsidR="008D30ED">
        <w:t>requests</w:t>
      </w:r>
      <w:r>
        <w:t xml:space="preserve"> accessibility checks in fast-track planning pathways, annual targets for accessible homes, a Commission inquiry into accessible housing, and support for an ACCC review of the SDA new build program.</w:t>
      </w:r>
    </w:p>
    <w:p w14:paraId="6A25F947" w14:textId="77777777" w:rsidR="00F467B1" w:rsidRDefault="00000000">
      <w:pPr>
        <w:pStyle w:val="RIAEnds"/>
      </w:pPr>
      <w:r>
        <w:t>ENDS</w:t>
      </w:r>
    </w:p>
    <w:tbl>
      <w:tblPr>
        <w:tblStyle w:val="RIACalloutBox"/>
        <w:tblW w:w="9752" w:type="dxa"/>
        <w:tblLook w:val="0600" w:firstRow="0" w:lastRow="0" w:firstColumn="0" w:lastColumn="0" w:noHBand="1" w:noVBand="1"/>
      </w:tblPr>
      <w:tblGrid>
        <w:gridCol w:w="9752"/>
      </w:tblGrid>
      <w:tr w:rsidR="00F467B1" w14:paraId="1BD1C99F" w14:textId="77777777">
        <w:tc>
          <w:tcPr>
            <w:tcW w:w="9752" w:type="dxa"/>
          </w:tcPr>
          <w:p w14:paraId="4DD9139A" w14:textId="77777777" w:rsidR="00F467B1" w:rsidRDefault="00000000">
            <w:pPr>
              <w:pStyle w:val="RIACallout"/>
            </w:pPr>
            <w:r>
              <w:rPr>
                <w:rStyle w:val="RIAStrong"/>
              </w:rPr>
              <w:t>Media contact:</w:t>
            </w:r>
            <w:r>
              <w:t xml:space="preserve"> Michael Fox AM, Director · 0417 402 030 · contact@riaustralia.org</w:t>
            </w:r>
          </w:p>
        </w:tc>
      </w:tr>
    </w:tbl>
    <w:p w14:paraId="5A30A7F6" w14:textId="77777777" w:rsidR="00F467B1" w:rsidRDefault="00F467B1">
      <w:pPr>
        <w:pStyle w:val="RIASpacer"/>
      </w:pPr>
    </w:p>
    <w:p w14:paraId="20E65875" w14:textId="62D8E123" w:rsidR="00335A55" w:rsidRPr="00335A55" w:rsidRDefault="00000000" w:rsidP="00335A55">
      <w:pPr>
        <w:pStyle w:val="RIABoilerplate"/>
      </w:pPr>
      <w:r>
        <w:rPr>
          <w:rStyle w:val="RIAStrong"/>
        </w:rPr>
        <w:t>About R&amp;IA:</w:t>
      </w:r>
      <w:r>
        <w:t xml:space="preserve"> Rights &amp; Inclusion Australia Inc. is a not-for-profit </w:t>
      </w:r>
      <w:r w:rsidR="00335A55">
        <w:t xml:space="preserve">national orgaisation </w:t>
      </w:r>
      <w:r>
        <w:t xml:space="preserve">advocating for the rights of people with disability, with a focus on </w:t>
      </w:r>
      <w:r w:rsidR="00335A55">
        <w:t xml:space="preserve">effective implementation of the UN CRPD, mainstream </w:t>
      </w:r>
      <w:r>
        <w:t xml:space="preserve">accessible housing, building standards and </w:t>
      </w:r>
      <w:r w:rsidR="00335A55">
        <w:t>First Nation people with disability.</w:t>
      </w:r>
    </w:p>
    <w:sectPr w:rsidR="00335A55" w:rsidRPr="00335A55" w:rsidSect="00BE5B9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300" w:right="1077" w:bottom="1135" w:left="1077" w:header="400" w:footer="56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AB479" w14:textId="77777777" w:rsidR="00692AD3" w:rsidRDefault="00692AD3">
      <w:pPr>
        <w:spacing w:after="0" w:line="240" w:lineRule="auto"/>
      </w:pPr>
      <w:r>
        <w:separator/>
      </w:r>
    </w:p>
  </w:endnote>
  <w:endnote w:type="continuationSeparator" w:id="0">
    <w:p w14:paraId="34D290CC" w14:textId="77777777" w:rsidR="00692AD3" w:rsidRDefault="00692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1A451E93-5EC7-4310-B0E0-89A6E4DB16CF}"/>
    <w:embedBold r:id="rId2" w:fontKey="{B30E3CED-1C54-42EE-BC8C-15DBD540D1C2}"/>
  </w:font>
  <w:font w:name="Atkinson Hyperlegible Next">
    <w:charset w:val="00"/>
    <w:family w:val="auto"/>
    <w:pitch w:val="variable"/>
    <w:sig w:usb0="A000006F" w:usb1="0000600A" w:usb2="00000000" w:usb3="00000000" w:csb0="00000093" w:csb1="00000000"/>
    <w:embedRegular r:id="rId3" w:fontKey="{71F159D4-F851-4ED4-838F-50B885069DA4}"/>
    <w:embedBold r:id="rId4" w:fontKey="{FA9E06C4-1554-421A-BC9B-1C6AAC72BAD9}"/>
    <w:embedItalic r:id="rId5" w:fontKey="{F34EFAA9-0D90-4F38-84D3-5670C28CDB65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6B02C3DD-B7F9-47F6-A35B-2DAE07535C9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DAF3AD93-0167-451E-8697-07F8DB57289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2CAA1" w14:textId="77777777" w:rsidR="00F467B1" w:rsidRDefault="00000000">
    <w:pPr>
      <w:pStyle w:val="RIAFooter"/>
      <w:tabs>
        <w:tab w:val="center" w:pos="4876"/>
      </w:tabs>
    </w:pPr>
    <w:r>
      <w:t>Rights &amp; Inclusion Australia Inc.</w:t>
    </w:r>
    <w:r>
      <w:tab/>
      <w:t>www.riaustralia.org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7928C3"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7928C3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7BBDB" w14:textId="77777777" w:rsidR="00F467B1" w:rsidRDefault="00000000">
    <w:pPr>
      <w:pStyle w:val="RIAFooter"/>
      <w:tabs>
        <w:tab w:val="center" w:pos="4876"/>
      </w:tabs>
    </w:pPr>
    <w:r>
      <w:t>Rights &amp; Inclusion Australia Inc.</w:t>
    </w:r>
    <w:r>
      <w:tab/>
      <w:t>www.riaustralia.org</w:t>
    </w:r>
    <w:r>
      <w:tab/>
      <w:t xml:space="preserve">Page </w:t>
    </w:r>
    <w:r>
      <w:fldChar w:fldCharType="begin"/>
    </w:r>
    <w:r>
      <w:instrText>PAGE</w:instrText>
    </w:r>
    <w:r>
      <w:fldChar w:fldCharType="separate"/>
    </w:r>
    <w:r w:rsidR="007928C3">
      <w:rPr>
        <w:noProof/>
      </w:rPr>
      <w:t>1</w:t>
    </w:r>
    <w:r>
      <w:fldChar w:fldCharType="end"/>
    </w:r>
    <w:r>
      <w:t xml:space="preserve"> of </w:t>
    </w:r>
    <w:r>
      <w:fldChar w:fldCharType="begin"/>
    </w:r>
    <w:r>
      <w:instrText>NUMPAGES</w:instrText>
    </w:r>
    <w:r>
      <w:fldChar w:fldCharType="separate"/>
    </w:r>
    <w:r w:rsidR="007928C3">
      <w:rPr>
        <w:noProof/>
      </w:rPr>
      <w:t>1</w:t>
    </w:r>
    <w:r>
      <w:fldChar w:fldCharType="end"/>
    </w:r>
    <w:r>
      <w:rPr>
        <w:noProof/>
      </w:rPr>
      <w:drawing>
        <wp:anchor distT="0" distB="0" distL="0" distR="0" simplePos="0" relativeHeight="219075" behindDoc="1" locked="1" layoutInCell="1" allowOverlap="1" wp14:anchorId="6A8EA195" wp14:editId="7CD9B89A">
          <wp:simplePos x="0" y="0"/>
          <wp:positionH relativeFrom="page">
            <wp:posOffset>0</wp:posOffset>
          </wp:positionH>
          <wp:positionV relativeFrom="page">
            <wp:posOffset>10476000</wp:posOffset>
          </wp:positionV>
          <wp:extent cx="7562850" cy="219075"/>
          <wp:effectExtent l="0" t="0" r="0" b="0"/>
          <wp:wrapNone/>
          <wp:docPr id="431860685" name="greenbar" descr="Decorative colour block" title="Decorativ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219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26C09" w14:textId="77777777" w:rsidR="00692AD3" w:rsidRDefault="00692AD3">
      <w:pPr>
        <w:spacing w:after="0" w:line="240" w:lineRule="auto"/>
      </w:pPr>
      <w:r>
        <w:separator/>
      </w:r>
    </w:p>
  </w:footnote>
  <w:footnote w:type="continuationSeparator" w:id="0">
    <w:p w14:paraId="3892CCF6" w14:textId="77777777" w:rsidR="00692AD3" w:rsidRDefault="00692A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59CDB" w14:textId="77777777" w:rsidR="00F467B1" w:rsidRDefault="00000000">
    <w:pPr>
      <w:pStyle w:val="RIAHeader"/>
    </w:pPr>
    <w:r>
      <w:rPr>
        <w:noProof/>
      </w:rPr>
      <w:drawing>
        <wp:anchor distT="0" distB="0" distL="0" distR="0" simplePos="0" relativeHeight="251659264" behindDoc="0" locked="1" layoutInCell="1" allowOverlap="1" wp14:anchorId="10433FF5" wp14:editId="7EF95D36">
          <wp:simplePos x="0" y="0"/>
          <wp:positionH relativeFrom="margin">
            <wp:align>center</wp:align>
          </wp:positionH>
          <wp:positionV relativeFrom="paragraph">
            <wp:posOffset>38100</wp:posOffset>
          </wp:positionV>
          <wp:extent cx="655200" cy="655200"/>
          <wp:effectExtent l="0" t="0" r="0" b="0"/>
          <wp:wrapNone/>
          <wp:docPr id="2092853379" name="R&amp;IA symbol" descr="R&amp;IA symbol" title="R&amp;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5200" cy="655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>Media Release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IALayoutTable"/>
      <w:tblW w:w="9752" w:type="dxa"/>
      <w:tblLook w:val="0600" w:firstRow="0" w:lastRow="0" w:firstColumn="0" w:lastColumn="0" w:noHBand="1" w:noVBand="1"/>
    </w:tblPr>
    <w:tblGrid>
      <w:gridCol w:w="5851"/>
      <w:gridCol w:w="3901"/>
    </w:tblGrid>
    <w:tr w:rsidR="00F467B1" w14:paraId="17463DD5" w14:textId="77777777">
      <w:tc>
        <w:tcPr>
          <w:tcW w:w="585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3BBFB604" w14:textId="77777777" w:rsidR="00F467B1" w:rsidRDefault="00000000">
          <w:pPr>
            <w:pStyle w:val="RIABodyTight"/>
          </w:pPr>
          <w:r>
            <w:rPr>
              <w:noProof/>
            </w:rPr>
            <w:drawing>
              <wp:inline distT="0" distB="0" distL="0" distR="0" wp14:anchorId="3F79DE33" wp14:editId="414E0E7D">
                <wp:extent cx="3095625" cy="1352550"/>
                <wp:effectExtent l="0" t="0" r="0" b="0"/>
                <wp:docPr id="996434603" name="R&amp;IA logo" descr="Rights &amp; Inclusion Australia logo" title="Rights &amp; Inclusion Austral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95625" cy="13525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01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</w:tcPr>
        <w:p w14:paraId="44B6847B" w14:textId="77777777" w:rsidR="00F467B1" w:rsidRDefault="00000000">
          <w:pPr>
            <w:pStyle w:val="RIALetterhead"/>
          </w:pPr>
          <w:r>
            <w:t>PO Box 88</w:t>
          </w:r>
        </w:p>
        <w:p w14:paraId="29053209" w14:textId="77777777" w:rsidR="00F467B1" w:rsidRDefault="00000000">
          <w:pPr>
            <w:pStyle w:val="RIALetterhead"/>
          </w:pPr>
          <w:r>
            <w:t>Pacific Palms NSW 2428</w:t>
          </w:r>
        </w:p>
        <w:p w14:paraId="475D4475" w14:textId="77777777" w:rsidR="00F467B1" w:rsidRDefault="00000000">
          <w:pPr>
            <w:pStyle w:val="RIALetterhead"/>
          </w:pPr>
          <w:r>
            <w:t>contact@riaustralia.org</w:t>
          </w:r>
        </w:p>
        <w:p w14:paraId="60181764" w14:textId="77777777" w:rsidR="00F467B1" w:rsidRDefault="00000000">
          <w:pPr>
            <w:pStyle w:val="RIALetterhead"/>
          </w:pPr>
          <w:r>
            <w:t>www.riaustralia.org</w:t>
          </w:r>
        </w:p>
      </w:tc>
    </w:tr>
  </w:tbl>
  <w:p w14:paraId="7CBEDA6F" w14:textId="77777777" w:rsidR="00F467B1" w:rsidRDefault="00F467B1">
    <w:pPr>
      <w:pStyle w:val="RIABodyT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1A0001"/>
    <w:multiLevelType w:val="multilevel"/>
    <w:tmpl w:val="6C06B842"/>
    <w:lvl w:ilvl="0">
      <w:start w:val="1"/>
      <w:numFmt w:val="decimal"/>
      <w:pStyle w:val="RIAHeading1"/>
      <w:lvlText w:val="%1"/>
      <w:lvlJc w:val="left"/>
      <w:pPr>
        <w:ind w:left="567" w:hanging="567"/>
      </w:pPr>
      <w:rPr>
        <w:color w:val="17775A"/>
      </w:rPr>
    </w:lvl>
    <w:lvl w:ilvl="1">
      <w:start w:val="1"/>
      <w:numFmt w:val="decimal"/>
      <w:pStyle w:val="RIAHeading2"/>
      <w:lvlText w:val="%1.%2"/>
      <w:lvlJc w:val="left"/>
      <w:pPr>
        <w:ind w:left="567" w:hanging="567"/>
      </w:pPr>
      <w:rPr>
        <w:color w:val="17775A"/>
      </w:rPr>
    </w:lvl>
    <w:lvl w:ilvl="2">
      <w:start w:val="1"/>
      <w:numFmt w:val="decimal"/>
      <w:pStyle w:val="RIAHeading3"/>
      <w:lvlText w:val="%1.%2.%3"/>
      <w:lvlJc w:val="left"/>
      <w:pPr>
        <w:ind w:left="851" w:hanging="851"/>
      </w:pPr>
      <w:rPr>
        <w:color w:val="17775A"/>
      </w:rPr>
    </w:lvl>
    <w:lvl w:ilvl="3">
      <w:start w:val="1"/>
      <w:numFmt w:val="none"/>
      <w:lvlText w:val=""/>
      <w:lvlJc w:val="left"/>
      <w:pPr>
        <w:ind w:left="851" w:hanging="851"/>
      </w:pPr>
    </w:lvl>
    <w:lvl w:ilvl="4">
      <w:start w:val="1"/>
      <w:numFmt w:val="none"/>
      <w:lvlText w:val=""/>
      <w:lvlJc w:val="left"/>
      <w:pPr>
        <w:ind w:left="851" w:hanging="851"/>
      </w:pPr>
    </w:lvl>
    <w:lvl w:ilvl="5">
      <w:start w:val="1"/>
      <w:numFmt w:val="none"/>
      <w:lvlText w:val=""/>
      <w:lvlJc w:val="left"/>
      <w:pPr>
        <w:ind w:left="851" w:hanging="851"/>
      </w:pPr>
    </w:lvl>
    <w:lvl w:ilvl="6">
      <w:start w:val="1"/>
      <w:numFmt w:val="none"/>
      <w:lvlText w:val=""/>
      <w:lvlJc w:val="left"/>
      <w:pPr>
        <w:ind w:left="851" w:hanging="851"/>
      </w:pPr>
    </w:lvl>
    <w:lvl w:ilvl="7">
      <w:start w:val="1"/>
      <w:numFmt w:val="none"/>
      <w:lvlText w:val=""/>
      <w:lvlJc w:val="left"/>
      <w:pPr>
        <w:ind w:left="851" w:hanging="851"/>
      </w:pPr>
    </w:lvl>
    <w:lvl w:ilvl="8">
      <w:start w:val="1"/>
      <w:numFmt w:val="none"/>
      <w:lvlText w:val=""/>
      <w:lvlJc w:val="left"/>
      <w:pPr>
        <w:ind w:left="851" w:hanging="851"/>
      </w:pPr>
    </w:lvl>
  </w:abstractNum>
  <w:abstractNum w:abstractNumId="1" w15:restartNumberingAfterBreak="0">
    <w:nsid w:val="5A1A0002"/>
    <w:multiLevelType w:val="multilevel"/>
    <w:tmpl w:val="4352240E"/>
    <w:lvl w:ilvl="0">
      <w:start w:val="1"/>
      <w:numFmt w:val="decimal"/>
      <w:pStyle w:val="RIAListNumber"/>
      <w:lvlText w:val="%1."/>
      <w:lvlJc w:val="left"/>
      <w:pPr>
        <w:ind w:left="397" w:hanging="397"/>
      </w:pPr>
      <w:rPr>
        <w:rFonts w:ascii="Montserrat" w:eastAsia="Montserrat" w:hAnsi="Montserrat" w:cs="Montserrat"/>
        <w:b/>
        <w:bCs/>
        <w:color w:val="17775A"/>
      </w:rPr>
    </w:lvl>
    <w:lvl w:ilvl="1">
      <w:start w:val="1"/>
      <w:numFmt w:val="lowerLetter"/>
      <w:pStyle w:val="RIAListNumber2"/>
      <w:lvlText w:val="(%2)"/>
      <w:lvlJc w:val="left"/>
      <w:pPr>
        <w:ind w:left="794" w:hanging="397"/>
      </w:pPr>
      <w:rPr>
        <w:color w:val="17775A"/>
      </w:rPr>
    </w:lvl>
    <w:lvl w:ilvl="2">
      <w:start w:val="1"/>
      <w:numFmt w:val="none"/>
      <w:lvlText w:val=""/>
      <w:lvlJc w:val="left"/>
      <w:pPr>
        <w:ind w:left="794" w:hanging="397"/>
      </w:pPr>
    </w:lvl>
    <w:lvl w:ilvl="3">
      <w:start w:val="1"/>
      <w:numFmt w:val="none"/>
      <w:lvlText w:val=""/>
      <w:lvlJc w:val="left"/>
      <w:pPr>
        <w:ind w:left="794" w:hanging="397"/>
      </w:pPr>
    </w:lvl>
    <w:lvl w:ilvl="4">
      <w:start w:val="1"/>
      <w:numFmt w:val="none"/>
      <w:lvlText w:val=""/>
      <w:lvlJc w:val="left"/>
      <w:pPr>
        <w:ind w:left="794" w:hanging="397"/>
      </w:pPr>
    </w:lvl>
    <w:lvl w:ilvl="5">
      <w:start w:val="1"/>
      <w:numFmt w:val="none"/>
      <w:lvlText w:val=""/>
      <w:lvlJc w:val="left"/>
      <w:pPr>
        <w:ind w:left="794" w:hanging="397"/>
      </w:pPr>
    </w:lvl>
    <w:lvl w:ilvl="6">
      <w:start w:val="1"/>
      <w:numFmt w:val="none"/>
      <w:lvlText w:val=""/>
      <w:lvlJc w:val="left"/>
      <w:pPr>
        <w:ind w:left="794" w:hanging="397"/>
      </w:pPr>
    </w:lvl>
    <w:lvl w:ilvl="7">
      <w:start w:val="1"/>
      <w:numFmt w:val="none"/>
      <w:lvlText w:val=""/>
      <w:lvlJc w:val="left"/>
      <w:pPr>
        <w:ind w:left="794" w:hanging="397"/>
      </w:pPr>
    </w:lvl>
    <w:lvl w:ilvl="8">
      <w:start w:val="1"/>
      <w:numFmt w:val="none"/>
      <w:lvlText w:val=""/>
      <w:lvlJc w:val="left"/>
      <w:pPr>
        <w:ind w:left="794" w:hanging="397"/>
      </w:pPr>
    </w:lvl>
  </w:abstractNum>
  <w:abstractNum w:abstractNumId="2" w15:restartNumberingAfterBreak="0">
    <w:nsid w:val="5A1A0003"/>
    <w:multiLevelType w:val="multilevel"/>
    <w:tmpl w:val="195C6050"/>
    <w:lvl w:ilvl="0">
      <w:start w:val="1"/>
      <w:numFmt w:val="bullet"/>
      <w:pStyle w:val="RIAListBullet"/>
      <w:lvlText w:val="■"/>
      <w:lvlJc w:val="left"/>
      <w:pPr>
        <w:ind w:left="397" w:hanging="284"/>
      </w:pPr>
      <w:rPr>
        <w:rFonts w:ascii="Atkinson Hyperlegible Next" w:eastAsia="Atkinson Hyperlegible Next" w:hAnsi="Atkinson Hyperlegible Next" w:cs="Atkinson Hyperlegible Next"/>
        <w:color w:val="28BA86"/>
        <w:sz w:val="14"/>
        <w:szCs w:val="14"/>
      </w:rPr>
    </w:lvl>
    <w:lvl w:ilvl="1">
      <w:start w:val="1"/>
      <w:numFmt w:val="bullet"/>
      <w:pStyle w:val="RIAListBullet2"/>
      <w:lvlText w:val="–"/>
      <w:lvlJc w:val="left"/>
      <w:pPr>
        <w:ind w:left="794" w:hanging="284"/>
      </w:pPr>
      <w:rPr>
        <w:rFonts w:ascii="Atkinson Hyperlegible Next" w:eastAsia="Atkinson Hyperlegible Next" w:hAnsi="Atkinson Hyperlegible Next" w:cs="Atkinson Hyperlegible Next"/>
        <w:color w:val="17775A"/>
      </w:rPr>
    </w:lvl>
    <w:lvl w:ilvl="2">
      <w:start w:val="1"/>
      <w:numFmt w:val="none"/>
      <w:lvlText w:val=""/>
      <w:lvlJc w:val="left"/>
      <w:pPr>
        <w:ind w:left="794" w:hanging="284"/>
      </w:pPr>
    </w:lvl>
    <w:lvl w:ilvl="3">
      <w:start w:val="1"/>
      <w:numFmt w:val="none"/>
      <w:lvlText w:val=""/>
      <w:lvlJc w:val="left"/>
      <w:pPr>
        <w:ind w:left="794" w:hanging="284"/>
      </w:pPr>
    </w:lvl>
    <w:lvl w:ilvl="4">
      <w:start w:val="1"/>
      <w:numFmt w:val="none"/>
      <w:lvlText w:val=""/>
      <w:lvlJc w:val="left"/>
      <w:pPr>
        <w:ind w:left="794" w:hanging="284"/>
      </w:pPr>
    </w:lvl>
    <w:lvl w:ilvl="5">
      <w:start w:val="1"/>
      <w:numFmt w:val="none"/>
      <w:lvlText w:val=""/>
      <w:lvlJc w:val="left"/>
      <w:pPr>
        <w:ind w:left="794" w:hanging="284"/>
      </w:pPr>
    </w:lvl>
    <w:lvl w:ilvl="6">
      <w:start w:val="1"/>
      <w:numFmt w:val="none"/>
      <w:lvlText w:val=""/>
      <w:lvlJc w:val="left"/>
      <w:pPr>
        <w:ind w:left="794" w:hanging="284"/>
      </w:pPr>
    </w:lvl>
    <w:lvl w:ilvl="7">
      <w:start w:val="1"/>
      <w:numFmt w:val="none"/>
      <w:lvlText w:val=""/>
      <w:lvlJc w:val="left"/>
      <w:pPr>
        <w:ind w:left="794" w:hanging="284"/>
      </w:pPr>
    </w:lvl>
    <w:lvl w:ilvl="8">
      <w:start w:val="1"/>
      <w:numFmt w:val="none"/>
      <w:lvlText w:val=""/>
      <w:lvlJc w:val="left"/>
      <w:pPr>
        <w:ind w:left="794" w:hanging="284"/>
      </w:pPr>
    </w:lvl>
  </w:abstractNum>
  <w:num w:numId="1" w16cid:durableId="506793286">
    <w:abstractNumId w:val="0"/>
  </w:num>
  <w:num w:numId="2" w16cid:durableId="1974213624">
    <w:abstractNumId w:val="1"/>
  </w:num>
  <w:num w:numId="3" w16cid:durableId="2030443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1473C211-E3B7-44A1-B92E-B7862F25F072}"/>
    <w:docVar w:name="dgnword-eventsink" w:val="2032718543744"/>
  </w:docVars>
  <w:rsids>
    <w:rsidRoot w:val="00F467B1"/>
    <w:rsid w:val="00033909"/>
    <w:rsid w:val="00033A02"/>
    <w:rsid w:val="0009151F"/>
    <w:rsid w:val="002D64D1"/>
    <w:rsid w:val="00335A55"/>
    <w:rsid w:val="003B4C63"/>
    <w:rsid w:val="00440613"/>
    <w:rsid w:val="00450514"/>
    <w:rsid w:val="004B7A59"/>
    <w:rsid w:val="004C213C"/>
    <w:rsid w:val="00616808"/>
    <w:rsid w:val="00692AD3"/>
    <w:rsid w:val="00695F5A"/>
    <w:rsid w:val="006C44FD"/>
    <w:rsid w:val="007341C7"/>
    <w:rsid w:val="007928C3"/>
    <w:rsid w:val="008D30ED"/>
    <w:rsid w:val="00977432"/>
    <w:rsid w:val="009E6A2A"/>
    <w:rsid w:val="00AE3FC9"/>
    <w:rsid w:val="00BE5B98"/>
    <w:rsid w:val="00C11CDE"/>
    <w:rsid w:val="00C974D8"/>
    <w:rsid w:val="00CA0E35"/>
    <w:rsid w:val="00D037A9"/>
    <w:rsid w:val="00F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76C977"/>
  <w15:docId w15:val="{3A3EFE3B-6E5D-4D8D-B493-2810B60A4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tkinson Hyperlegible Next" w:eastAsia="Atkinson Hyperlegible Next" w:hAnsi="Atkinson Hyperlegible Next" w:cs="Atkinson Hyperlegible Next"/>
        <w:color w:val="1F2933"/>
        <w:sz w:val="22"/>
        <w:szCs w:val="22"/>
        <w:lang w:val="en-AU" w:eastAsia="en-AU" w:bidi="ar-SA"/>
      </w:rPr>
    </w:rPrDefault>
    <w:pPrDefault>
      <w:pPr>
        <w:spacing w:after="130" w:line="33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semiHidden/>
    <w:unhideWhenUsed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IABody">
    <w:name w:val="R&amp;IA Body"/>
    <w:uiPriority w:val="1"/>
    <w:qFormat/>
    <w:pPr>
      <w:spacing w:before="120" w:after="120" w:line="264" w:lineRule="auto"/>
    </w:pPr>
  </w:style>
  <w:style w:type="paragraph" w:customStyle="1" w:styleId="RIABodyTight">
    <w:name w:val="R&amp;IA Body Tight"/>
    <w:basedOn w:val="RIABody"/>
    <w:next w:val="RIABody"/>
    <w:uiPriority w:val="2"/>
    <w:qFormat/>
    <w:pPr>
      <w:spacing w:before="0" w:after="0"/>
    </w:pPr>
  </w:style>
  <w:style w:type="paragraph" w:customStyle="1" w:styleId="RIALead">
    <w:name w:val="R&amp;IA Lead"/>
    <w:basedOn w:val="RIABody"/>
    <w:next w:val="RIABody"/>
    <w:uiPriority w:val="3"/>
    <w:qFormat/>
    <w:rPr>
      <w:color w:val="0E2A47"/>
      <w:sz w:val="24"/>
      <w:szCs w:val="24"/>
    </w:rPr>
  </w:style>
  <w:style w:type="paragraph" w:customStyle="1" w:styleId="RIAGuidance">
    <w:name w:val="R&amp;IA Guidance"/>
    <w:basedOn w:val="RIABody"/>
    <w:next w:val="RIABody"/>
    <w:uiPriority w:val="4"/>
    <w:qFormat/>
    <w:rPr>
      <w:i/>
      <w:iCs/>
      <w:color w:val="5B6770"/>
    </w:rPr>
  </w:style>
  <w:style w:type="paragraph" w:customStyle="1" w:styleId="RIATitle">
    <w:name w:val="R&amp;IA Title"/>
    <w:basedOn w:val="RIABody"/>
    <w:next w:val="RIABody"/>
    <w:uiPriority w:val="10"/>
    <w:qFormat/>
    <w:pPr>
      <w:spacing w:before="0" w:after="220" w:line="252" w:lineRule="auto"/>
    </w:pPr>
    <w:rPr>
      <w:rFonts w:ascii="Montserrat" w:eastAsia="Montserrat" w:hAnsi="Montserrat" w:cs="Montserrat"/>
      <w:b/>
      <w:bCs/>
      <w:color w:val="0E2A47"/>
      <w:sz w:val="48"/>
      <w:szCs w:val="48"/>
    </w:rPr>
  </w:style>
  <w:style w:type="paragraph" w:customStyle="1" w:styleId="RIAHeadline">
    <w:name w:val="R&amp;IA Headline"/>
    <w:basedOn w:val="RIATitle"/>
    <w:next w:val="RIABody"/>
    <w:uiPriority w:val="11"/>
    <w:qFormat/>
    <w:rPr>
      <w:sz w:val="42"/>
      <w:szCs w:val="42"/>
    </w:rPr>
  </w:style>
  <w:style w:type="paragraph" w:customStyle="1" w:styleId="RIAHeading1">
    <w:name w:val="R&amp;IA Heading 1"/>
    <w:basedOn w:val="RIABody"/>
    <w:next w:val="RIABody"/>
    <w:uiPriority w:val="12"/>
    <w:qFormat/>
    <w:pPr>
      <w:keepNext/>
      <w:keepLines/>
      <w:numPr>
        <w:numId w:val="1"/>
      </w:numPr>
      <w:spacing w:before="320" w:after="140" w:line="252" w:lineRule="auto"/>
      <w:outlineLvl w:val="0"/>
    </w:pPr>
    <w:rPr>
      <w:rFonts w:ascii="Montserrat" w:eastAsia="Montserrat" w:hAnsi="Montserrat" w:cs="Montserrat"/>
      <w:b/>
      <w:bCs/>
      <w:color w:val="0E2A47"/>
      <w:sz w:val="28"/>
      <w:szCs w:val="28"/>
    </w:rPr>
  </w:style>
  <w:style w:type="paragraph" w:customStyle="1" w:styleId="RIAHeading2">
    <w:name w:val="R&amp;IA Heading 2"/>
    <w:basedOn w:val="RIABody"/>
    <w:next w:val="RIABody"/>
    <w:uiPriority w:val="13"/>
    <w:qFormat/>
    <w:pPr>
      <w:keepNext/>
      <w:keepLines/>
      <w:numPr>
        <w:ilvl w:val="1"/>
        <w:numId w:val="1"/>
      </w:numPr>
      <w:spacing w:before="220" w:after="100" w:line="252" w:lineRule="auto"/>
      <w:outlineLvl w:val="1"/>
    </w:pPr>
    <w:rPr>
      <w:rFonts w:ascii="Montserrat" w:eastAsia="Montserrat" w:hAnsi="Montserrat" w:cs="Montserrat"/>
      <w:b/>
      <w:bCs/>
      <w:color w:val="0E2A47"/>
    </w:rPr>
  </w:style>
  <w:style w:type="paragraph" w:customStyle="1" w:styleId="RIAHeading3">
    <w:name w:val="R&amp;IA Heading 3"/>
    <w:basedOn w:val="RIABody"/>
    <w:next w:val="RIABody"/>
    <w:uiPriority w:val="14"/>
    <w:qFormat/>
    <w:pPr>
      <w:keepNext/>
      <w:keepLines/>
      <w:numPr>
        <w:ilvl w:val="2"/>
        <w:numId w:val="1"/>
      </w:numPr>
      <w:spacing w:before="180" w:after="80" w:line="252" w:lineRule="auto"/>
      <w:outlineLvl w:val="2"/>
    </w:pPr>
    <w:rPr>
      <w:rFonts w:ascii="Montserrat" w:eastAsia="Montserrat" w:hAnsi="Montserrat" w:cs="Montserrat"/>
      <w:b/>
      <w:bCs/>
      <w:color w:val="0E2A47"/>
      <w:sz w:val="20"/>
      <w:szCs w:val="20"/>
    </w:rPr>
  </w:style>
  <w:style w:type="paragraph" w:customStyle="1" w:styleId="RIAPrefaceHeading">
    <w:name w:val="R&amp;IA Preface Heading"/>
    <w:basedOn w:val="RIABody"/>
    <w:next w:val="RIABody"/>
    <w:uiPriority w:val="15"/>
    <w:qFormat/>
    <w:pPr>
      <w:keepNext/>
      <w:spacing w:before="0" w:after="240" w:line="252" w:lineRule="auto"/>
      <w:outlineLvl w:val="0"/>
    </w:pPr>
    <w:rPr>
      <w:rFonts w:ascii="Montserrat" w:eastAsia="Montserrat" w:hAnsi="Montserrat" w:cs="Montserrat"/>
      <w:b/>
      <w:bCs/>
      <w:color w:val="0E2A47"/>
      <w:sz w:val="36"/>
      <w:szCs w:val="36"/>
    </w:rPr>
  </w:style>
  <w:style w:type="paragraph" w:customStyle="1" w:styleId="RIAPageTitle">
    <w:name w:val="R&amp;IA Page Title"/>
    <w:basedOn w:val="RIABody"/>
    <w:next w:val="RIABody"/>
    <w:uiPriority w:val="16"/>
    <w:qFormat/>
    <w:pPr>
      <w:keepNext/>
      <w:spacing w:before="0" w:after="220" w:line="252" w:lineRule="auto"/>
    </w:pPr>
    <w:rPr>
      <w:rFonts w:ascii="Montserrat" w:eastAsia="Montserrat" w:hAnsi="Montserrat" w:cs="Montserrat"/>
      <w:b/>
      <w:bCs/>
      <w:color w:val="0E2A47"/>
      <w:sz w:val="36"/>
      <w:szCs w:val="36"/>
    </w:rPr>
  </w:style>
  <w:style w:type="paragraph" w:customStyle="1" w:styleId="RIASubheading">
    <w:name w:val="R&amp;IA Subheading"/>
    <w:basedOn w:val="RIABody"/>
    <w:next w:val="RIABody"/>
    <w:uiPriority w:val="17"/>
    <w:qFormat/>
    <w:pPr>
      <w:keepNext/>
      <w:spacing w:before="200" w:after="60" w:line="252" w:lineRule="auto"/>
    </w:pPr>
    <w:rPr>
      <w:rFonts w:ascii="Montserrat" w:eastAsia="Montserrat" w:hAnsi="Montserrat" w:cs="Montserrat"/>
      <w:b/>
      <w:bCs/>
      <w:color w:val="0E2A47"/>
      <w:sz w:val="20"/>
      <w:szCs w:val="20"/>
    </w:rPr>
  </w:style>
  <w:style w:type="paragraph" w:customStyle="1" w:styleId="RIALabel">
    <w:name w:val="R&amp;IA Label"/>
    <w:basedOn w:val="RIABody"/>
    <w:next w:val="RIABody"/>
    <w:uiPriority w:val="18"/>
    <w:qFormat/>
    <w:pPr>
      <w:spacing w:before="0" w:after="60"/>
    </w:pPr>
    <w:rPr>
      <w:rFonts w:ascii="Montserrat" w:eastAsia="Montserrat" w:hAnsi="Montserrat" w:cs="Montserrat"/>
      <w:b/>
      <w:bCs/>
      <w:caps/>
      <w:color w:val="17775A"/>
      <w:spacing w:val="30"/>
      <w:sz w:val="20"/>
      <w:szCs w:val="20"/>
    </w:rPr>
  </w:style>
  <w:style w:type="paragraph" w:customStyle="1" w:styleId="RIAListNumber">
    <w:name w:val="R&amp;IA List Number"/>
    <w:basedOn w:val="RIABody"/>
    <w:uiPriority w:val="20"/>
    <w:qFormat/>
    <w:pPr>
      <w:numPr>
        <w:numId w:val="2"/>
      </w:numPr>
      <w:spacing w:after="80"/>
    </w:pPr>
  </w:style>
  <w:style w:type="paragraph" w:customStyle="1" w:styleId="RIAListNumber2">
    <w:name w:val="R&amp;IA List Number 2"/>
    <w:basedOn w:val="RIABody"/>
    <w:uiPriority w:val="21"/>
    <w:qFormat/>
    <w:pPr>
      <w:numPr>
        <w:ilvl w:val="1"/>
        <w:numId w:val="2"/>
      </w:numPr>
      <w:spacing w:after="60"/>
    </w:pPr>
  </w:style>
  <w:style w:type="paragraph" w:customStyle="1" w:styleId="RIAListBullet">
    <w:name w:val="R&amp;IA List Bullet"/>
    <w:basedOn w:val="RIABody"/>
    <w:uiPriority w:val="22"/>
    <w:qFormat/>
    <w:pPr>
      <w:numPr>
        <w:numId w:val="3"/>
      </w:numPr>
      <w:spacing w:after="80"/>
    </w:pPr>
  </w:style>
  <w:style w:type="paragraph" w:customStyle="1" w:styleId="RIAListBullet2">
    <w:name w:val="R&amp;IA List Bullet 2"/>
    <w:basedOn w:val="RIABody"/>
    <w:uiPriority w:val="23"/>
    <w:qFormat/>
    <w:pPr>
      <w:numPr>
        <w:ilvl w:val="1"/>
        <w:numId w:val="3"/>
      </w:numPr>
      <w:spacing w:after="60"/>
    </w:pPr>
  </w:style>
  <w:style w:type="paragraph" w:customStyle="1" w:styleId="RIACallout">
    <w:name w:val="R&amp;IA Callout"/>
    <w:basedOn w:val="RIABody"/>
    <w:uiPriority w:val="25"/>
    <w:qFormat/>
    <w:pPr>
      <w:spacing w:before="0" w:after="0" w:line="312" w:lineRule="auto"/>
    </w:pPr>
  </w:style>
  <w:style w:type="paragraph" w:customStyle="1" w:styleId="RIAQuestion">
    <w:name w:val="R&amp;IA Question"/>
    <w:basedOn w:val="RIABody"/>
    <w:uiPriority w:val="26"/>
    <w:qFormat/>
    <w:pPr>
      <w:spacing w:before="0" w:after="0" w:line="312" w:lineRule="auto"/>
    </w:pPr>
    <w:rPr>
      <w:b/>
      <w:bCs/>
    </w:rPr>
  </w:style>
  <w:style w:type="paragraph" w:customStyle="1" w:styleId="RIABoxHeading">
    <w:name w:val="R&amp;IA Box Heading"/>
    <w:basedOn w:val="RIABody"/>
    <w:next w:val="RIABoxText"/>
    <w:uiPriority w:val="27"/>
    <w:qFormat/>
    <w:pPr>
      <w:keepNext/>
      <w:spacing w:before="0" w:after="80"/>
    </w:pPr>
    <w:rPr>
      <w:rFonts w:ascii="Montserrat" w:eastAsia="Montserrat" w:hAnsi="Montserrat" w:cs="Montserrat"/>
      <w:b/>
      <w:bCs/>
      <w:color w:val="0E2A47"/>
      <w:sz w:val="20"/>
      <w:szCs w:val="20"/>
    </w:rPr>
  </w:style>
  <w:style w:type="paragraph" w:customStyle="1" w:styleId="RIABoxText">
    <w:name w:val="R&amp;IA Box Text"/>
    <w:basedOn w:val="RIABody"/>
    <w:uiPriority w:val="28"/>
    <w:qFormat/>
    <w:pPr>
      <w:spacing w:before="0" w:after="0"/>
    </w:pPr>
    <w:rPr>
      <w:sz w:val="20"/>
      <w:szCs w:val="20"/>
    </w:rPr>
  </w:style>
  <w:style w:type="paragraph" w:customStyle="1" w:styleId="RIAQuote">
    <w:name w:val="R&amp;IA Quote"/>
    <w:basedOn w:val="RIABody"/>
    <w:next w:val="RIABody"/>
    <w:uiPriority w:val="29"/>
    <w:qFormat/>
    <w:pPr>
      <w:pBdr>
        <w:left w:val="single" w:sz="30" w:space="12" w:color="28BA86"/>
      </w:pBdr>
      <w:spacing w:before="160" w:after="200"/>
      <w:ind w:left="240"/>
    </w:pPr>
    <w:rPr>
      <w:i/>
      <w:iCs/>
      <w:sz w:val="23"/>
      <w:szCs w:val="23"/>
    </w:rPr>
  </w:style>
  <w:style w:type="paragraph" w:customStyle="1" w:styleId="RIATableHeading">
    <w:name w:val="R&amp;IA Table Heading"/>
    <w:basedOn w:val="RIABody"/>
    <w:next w:val="RIATableText"/>
    <w:uiPriority w:val="30"/>
    <w:qFormat/>
    <w:pPr>
      <w:spacing w:before="0" w:after="0"/>
    </w:pPr>
    <w:rPr>
      <w:rFonts w:ascii="Montserrat" w:eastAsia="Montserrat" w:hAnsi="Montserrat" w:cs="Montserrat"/>
      <w:b/>
      <w:bCs/>
      <w:color w:val="FFFFFF"/>
      <w:sz w:val="20"/>
      <w:szCs w:val="20"/>
    </w:rPr>
  </w:style>
  <w:style w:type="paragraph" w:customStyle="1" w:styleId="RIATableHeadingCentred">
    <w:name w:val="R&amp;IA Table Heading Centred"/>
    <w:basedOn w:val="RIATableHeading"/>
    <w:next w:val="RIATableTextCentred"/>
    <w:uiPriority w:val="31"/>
    <w:qFormat/>
    <w:pPr>
      <w:jc w:val="center"/>
    </w:pPr>
  </w:style>
  <w:style w:type="paragraph" w:customStyle="1" w:styleId="RIATableHeadingRight">
    <w:name w:val="R&amp;IA Table Heading Right"/>
    <w:basedOn w:val="RIATableHeading"/>
    <w:next w:val="RIATableTextRight"/>
    <w:uiPriority w:val="32"/>
    <w:qFormat/>
    <w:pPr>
      <w:jc w:val="right"/>
    </w:pPr>
  </w:style>
  <w:style w:type="paragraph" w:customStyle="1" w:styleId="RIATableText">
    <w:name w:val="R&amp;IA Table Text"/>
    <w:basedOn w:val="RIABody"/>
    <w:uiPriority w:val="33"/>
    <w:qFormat/>
    <w:pPr>
      <w:spacing w:before="0" w:after="0"/>
    </w:pPr>
    <w:rPr>
      <w:sz w:val="20"/>
      <w:szCs w:val="20"/>
    </w:rPr>
  </w:style>
  <w:style w:type="paragraph" w:customStyle="1" w:styleId="RIATableTextCentred">
    <w:name w:val="R&amp;IA Table Text Centred"/>
    <w:basedOn w:val="RIATableText"/>
    <w:uiPriority w:val="34"/>
    <w:qFormat/>
    <w:pPr>
      <w:jc w:val="center"/>
    </w:pPr>
  </w:style>
  <w:style w:type="paragraph" w:customStyle="1" w:styleId="RIATableTextRight">
    <w:name w:val="R&amp;IA Table Text Right"/>
    <w:basedOn w:val="RIATableText"/>
    <w:uiPriority w:val="35"/>
    <w:qFormat/>
    <w:pPr>
      <w:jc w:val="right"/>
    </w:pPr>
  </w:style>
  <w:style w:type="paragraph" w:customStyle="1" w:styleId="RIATableLabel">
    <w:name w:val="R&amp;IA Table Label"/>
    <w:basedOn w:val="RIATableText"/>
    <w:next w:val="RIATableText"/>
    <w:uiPriority w:val="36"/>
    <w:qFormat/>
    <w:rPr>
      <w:b/>
      <w:bCs/>
    </w:rPr>
  </w:style>
  <w:style w:type="paragraph" w:customStyle="1" w:styleId="RIACaption">
    <w:name w:val="R&amp;IA Caption"/>
    <w:basedOn w:val="RIABody"/>
    <w:next w:val="RIABody"/>
    <w:uiPriority w:val="37"/>
    <w:qFormat/>
    <w:pPr>
      <w:spacing w:after="240"/>
      <w:jc w:val="center"/>
    </w:pPr>
    <w:rPr>
      <w:b/>
      <w:bCs/>
      <w:color w:val="0E2A47"/>
      <w:sz w:val="20"/>
      <w:szCs w:val="20"/>
    </w:rPr>
  </w:style>
  <w:style w:type="paragraph" w:customStyle="1" w:styleId="RIASource">
    <w:name w:val="R&amp;IA Source"/>
    <w:basedOn w:val="RIABody"/>
    <w:next w:val="RIABody"/>
    <w:uiPriority w:val="38"/>
    <w:qFormat/>
    <w:pPr>
      <w:spacing w:before="0" w:after="80" w:line="252" w:lineRule="auto"/>
    </w:pPr>
    <w:rPr>
      <w:color w:val="5B6770"/>
      <w:sz w:val="20"/>
      <w:szCs w:val="20"/>
    </w:rPr>
  </w:style>
  <w:style w:type="paragraph" w:customStyle="1" w:styleId="RIANotes">
    <w:name w:val="R&amp;IA Notes"/>
    <w:basedOn w:val="RIABody"/>
    <w:uiPriority w:val="39"/>
    <w:qFormat/>
    <w:pPr>
      <w:spacing w:before="0" w:after="80" w:line="252" w:lineRule="auto"/>
    </w:pPr>
    <w:rPr>
      <w:sz w:val="20"/>
      <w:szCs w:val="20"/>
    </w:rPr>
  </w:style>
  <w:style w:type="paragraph" w:customStyle="1" w:styleId="RIADisclaimer">
    <w:name w:val="R&amp;IA Disclaimer"/>
    <w:basedOn w:val="RIABody"/>
    <w:next w:val="RIABody"/>
    <w:uiPriority w:val="40"/>
    <w:qFormat/>
    <w:rPr>
      <w:i/>
      <w:iCs/>
      <w:color w:val="5B6770"/>
      <w:sz w:val="20"/>
      <w:szCs w:val="20"/>
    </w:rPr>
  </w:style>
  <w:style w:type="paragraph" w:customStyle="1" w:styleId="RIASpacer">
    <w:name w:val="R&amp;IA Spacer"/>
    <w:basedOn w:val="RIABody"/>
    <w:next w:val="RIABody"/>
    <w:uiPriority w:val="41"/>
    <w:qFormat/>
    <w:pPr>
      <w:spacing w:before="0" w:after="160" w:line="120" w:lineRule="auto"/>
    </w:pPr>
    <w:rPr>
      <w:sz w:val="6"/>
      <w:szCs w:val="6"/>
    </w:rPr>
  </w:style>
  <w:style w:type="paragraph" w:customStyle="1" w:styleId="RIALetterDate">
    <w:name w:val="R&amp;IA Letter Date"/>
    <w:basedOn w:val="RIABody"/>
    <w:next w:val="RIARecipient"/>
    <w:uiPriority w:val="45"/>
    <w:qFormat/>
    <w:pPr>
      <w:spacing w:before="1250" w:after="300"/>
    </w:pPr>
  </w:style>
  <w:style w:type="paragraph" w:customStyle="1" w:styleId="RIARecipient">
    <w:name w:val="R&amp;IA Recipient"/>
    <w:basedOn w:val="RIABody"/>
    <w:uiPriority w:val="46"/>
    <w:qFormat/>
    <w:pPr>
      <w:spacing w:before="0" w:after="0"/>
    </w:pPr>
  </w:style>
  <w:style w:type="paragraph" w:customStyle="1" w:styleId="RIAReference">
    <w:name w:val="R&amp;IA Reference"/>
    <w:basedOn w:val="RIABody"/>
    <w:next w:val="RIASubjectLine"/>
    <w:uiPriority w:val="47"/>
    <w:qFormat/>
    <w:pPr>
      <w:spacing w:before="240" w:after="280"/>
    </w:pPr>
    <w:rPr>
      <w:color w:val="5B6770"/>
      <w:sz w:val="20"/>
      <w:szCs w:val="20"/>
    </w:rPr>
  </w:style>
  <w:style w:type="paragraph" w:customStyle="1" w:styleId="RIASubjectLine">
    <w:name w:val="R&amp;IA Subject Line"/>
    <w:basedOn w:val="RIABody"/>
    <w:next w:val="RIABody"/>
    <w:uiPriority w:val="48"/>
    <w:qFormat/>
    <w:pPr>
      <w:keepNext/>
      <w:pBdr>
        <w:left w:val="single" w:sz="30" w:space="10" w:color="28BA86"/>
      </w:pBdr>
      <w:spacing w:before="0" w:after="280"/>
      <w:ind w:left="200"/>
    </w:pPr>
    <w:rPr>
      <w:rFonts w:ascii="Montserrat" w:eastAsia="Montserrat" w:hAnsi="Montserrat" w:cs="Montserrat"/>
      <w:b/>
      <w:bCs/>
      <w:color w:val="0E2A47"/>
    </w:rPr>
  </w:style>
  <w:style w:type="paragraph" w:customStyle="1" w:styleId="RIASign-off">
    <w:name w:val="R&amp;IA Sign-off"/>
    <w:basedOn w:val="RIABody"/>
    <w:next w:val="RIABody"/>
    <w:uiPriority w:val="49"/>
    <w:qFormat/>
    <w:pPr>
      <w:keepNext/>
      <w:spacing w:before="0" w:after="500"/>
    </w:pPr>
  </w:style>
  <w:style w:type="paragraph" w:customStyle="1" w:styleId="RIASignature">
    <w:name w:val="R&amp;IA Signature"/>
    <w:basedOn w:val="RIABody"/>
    <w:next w:val="RIASignatoryName"/>
    <w:uiPriority w:val="50"/>
    <w:qFormat/>
    <w:pPr>
      <w:spacing w:before="0" w:after="0"/>
      <w:jc w:val="center"/>
    </w:pPr>
    <w:rPr>
      <w:i/>
      <w:iCs/>
      <w:color w:val="A0A8AF"/>
      <w:sz w:val="20"/>
      <w:szCs w:val="20"/>
    </w:rPr>
  </w:style>
  <w:style w:type="paragraph" w:customStyle="1" w:styleId="RIASignatoryName">
    <w:name w:val="R&amp;IA Signatory Name"/>
    <w:basedOn w:val="RIABody"/>
    <w:next w:val="RIASignatoryTitle"/>
    <w:uiPriority w:val="51"/>
    <w:qFormat/>
    <w:pPr>
      <w:spacing w:before="200" w:after="0"/>
      <w:jc w:val="center"/>
    </w:pPr>
    <w:rPr>
      <w:b/>
      <w:bCs/>
    </w:rPr>
  </w:style>
  <w:style w:type="paragraph" w:customStyle="1" w:styleId="RIASignatoryTitle">
    <w:name w:val="R&amp;IA Signatory Title"/>
    <w:basedOn w:val="RIABody"/>
    <w:next w:val="RIABody"/>
    <w:uiPriority w:val="52"/>
    <w:qFormat/>
    <w:pPr>
      <w:jc w:val="center"/>
    </w:pPr>
    <w:rPr>
      <w:color w:val="5B6770"/>
    </w:rPr>
  </w:style>
  <w:style w:type="paragraph" w:customStyle="1" w:styleId="RIAEnclosure">
    <w:name w:val="R&amp;IA Enclosure"/>
    <w:basedOn w:val="RIABody"/>
    <w:next w:val="RIABody"/>
    <w:uiPriority w:val="53"/>
    <w:qFormat/>
    <w:pPr>
      <w:spacing w:before="240"/>
    </w:pPr>
    <w:rPr>
      <w:color w:val="5B6770"/>
      <w:sz w:val="20"/>
      <w:szCs w:val="20"/>
    </w:rPr>
  </w:style>
  <w:style w:type="paragraph" w:customStyle="1" w:styleId="RIADateline">
    <w:name w:val="R&amp;IA Dateline"/>
    <w:basedOn w:val="RIABody"/>
    <w:next w:val="RIAHeadline"/>
    <w:uiPriority w:val="55"/>
    <w:qFormat/>
    <w:pPr>
      <w:tabs>
        <w:tab w:val="right" w:pos="9752"/>
      </w:tabs>
      <w:spacing w:before="0"/>
    </w:pPr>
    <w:rPr>
      <w:color w:val="5B6770"/>
      <w:sz w:val="20"/>
      <w:szCs w:val="20"/>
    </w:rPr>
  </w:style>
  <w:style w:type="paragraph" w:customStyle="1" w:styleId="RIAEnds">
    <w:name w:val="R&amp;IA Ends"/>
    <w:basedOn w:val="RIABody"/>
    <w:next w:val="RIABody"/>
    <w:uiPriority w:val="56"/>
    <w:qFormat/>
    <w:pPr>
      <w:spacing w:after="160"/>
      <w:jc w:val="center"/>
    </w:pPr>
    <w:rPr>
      <w:rFonts w:ascii="Montserrat" w:eastAsia="Montserrat" w:hAnsi="Montserrat" w:cs="Montserrat"/>
      <w:b/>
      <w:bCs/>
      <w:color w:val="0E2A47"/>
      <w:spacing w:val="60"/>
      <w:sz w:val="20"/>
      <w:szCs w:val="20"/>
    </w:rPr>
  </w:style>
  <w:style w:type="paragraph" w:customStyle="1" w:styleId="RIABoilerplate">
    <w:name w:val="R&amp;IA Boilerplate"/>
    <w:basedOn w:val="RIABody"/>
    <w:next w:val="RIABody"/>
    <w:uiPriority w:val="57"/>
    <w:qFormat/>
    <w:rPr>
      <w:color w:val="5B6770"/>
      <w:sz w:val="20"/>
      <w:szCs w:val="20"/>
    </w:rPr>
  </w:style>
  <w:style w:type="paragraph" w:customStyle="1" w:styleId="RIACoverLabel">
    <w:name w:val="R&amp;IA Cover Label"/>
    <w:basedOn w:val="RIALabel"/>
    <w:next w:val="RIACoverTitle"/>
    <w:uiPriority w:val="60"/>
    <w:qFormat/>
    <w:rPr>
      <w:color w:val="28BA86"/>
    </w:rPr>
  </w:style>
  <w:style w:type="paragraph" w:customStyle="1" w:styleId="RIACoverTitle">
    <w:name w:val="R&amp;IA Cover Title"/>
    <w:basedOn w:val="RIABody"/>
    <w:next w:val="RIACoverSubtitle"/>
    <w:uiPriority w:val="61"/>
    <w:qFormat/>
    <w:pPr>
      <w:spacing w:before="0" w:after="200" w:line="252" w:lineRule="auto"/>
    </w:pPr>
    <w:rPr>
      <w:rFonts w:ascii="Montserrat" w:eastAsia="Montserrat" w:hAnsi="Montserrat" w:cs="Montserrat"/>
      <w:b/>
      <w:bCs/>
      <w:color w:val="FFFFFF"/>
      <w:sz w:val="60"/>
      <w:szCs w:val="60"/>
    </w:rPr>
  </w:style>
  <w:style w:type="paragraph" w:customStyle="1" w:styleId="RIACoverSubtitle">
    <w:name w:val="R&amp;IA Cover Subtitle"/>
    <w:basedOn w:val="RIABody"/>
    <w:next w:val="RIABody"/>
    <w:uiPriority w:val="62"/>
    <w:qFormat/>
    <w:pPr>
      <w:spacing w:before="0" w:after="0"/>
    </w:pPr>
    <w:rPr>
      <w:rFonts w:ascii="Montserrat" w:eastAsia="Montserrat" w:hAnsi="Montserrat" w:cs="Montserrat"/>
      <w:color w:val="D7E0E8"/>
      <w:sz w:val="28"/>
      <w:szCs w:val="28"/>
    </w:rPr>
  </w:style>
  <w:style w:type="paragraph" w:customStyle="1" w:styleId="RIACoverDetails">
    <w:name w:val="R&amp;IA Cover Details"/>
    <w:basedOn w:val="RIABody"/>
    <w:next w:val="RIABody"/>
    <w:uiPriority w:val="63"/>
    <w:qFormat/>
    <w:rPr>
      <w:color w:val="FFFFFF"/>
    </w:rPr>
  </w:style>
  <w:style w:type="paragraph" w:customStyle="1" w:styleId="RIACoverSpacer">
    <w:name w:val="R&amp;IA Cover Spacer"/>
    <w:basedOn w:val="RIASpacer"/>
    <w:next w:val="RIABody"/>
    <w:uiPriority w:val="64"/>
    <w:qFormat/>
    <w:pPr>
      <w:spacing w:after="200"/>
    </w:pPr>
  </w:style>
  <w:style w:type="paragraph" w:customStyle="1" w:styleId="RIAContact">
    <w:name w:val="R&amp;IA Contact"/>
    <w:basedOn w:val="RIABody"/>
    <w:uiPriority w:val="65"/>
    <w:qFormat/>
    <w:pPr>
      <w:tabs>
        <w:tab w:val="left" w:pos="850"/>
      </w:tabs>
      <w:spacing w:before="0" w:after="0" w:line="252" w:lineRule="auto"/>
    </w:pPr>
    <w:rPr>
      <w:sz w:val="20"/>
      <w:szCs w:val="20"/>
    </w:rPr>
  </w:style>
  <w:style w:type="paragraph" w:customStyle="1" w:styleId="RIASmallPrint">
    <w:name w:val="R&amp;IA Small Print"/>
    <w:basedOn w:val="RIABody"/>
    <w:next w:val="RIABody"/>
    <w:uiPriority w:val="66"/>
    <w:qFormat/>
    <w:rPr>
      <w:color w:val="5B6770"/>
      <w:sz w:val="20"/>
      <w:szCs w:val="20"/>
    </w:rPr>
  </w:style>
  <w:style w:type="paragraph" w:customStyle="1" w:styleId="RIAHeader">
    <w:name w:val="R&amp;IA Header"/>
    <w:basedOn w:val="RIABody"/>
    <w:next w:val="RIABody"/>
    <w:uiPriority w:val="70"/>
    <w:qFormat/>
    <w:pPr>
      <w:tabs>
        <w:tab w:val="center" w:pos="4876"/>
        <w:tab w:val="right" w:pos="9752"/>
      </w:tabs>
      <w:spacing w:before="850" w:after="0" w:line="240" w:lineRule="auto"/>
      <w:jc w:val="right"/>
    </w:pPr>
    <w:rPr>
      <w:color w:val="5B6770"/>
      <w:sz w:val="20"/>
      <w:szCs w:val="20"/>
    </w:rPr>
  </w:style>
  <w:style w:type="paragraph" w:customStyle="1" w:styleId="RIAFooter">
    <w:name w:val="R&amp;IA Footer"/>
    <w:basedOn w:val="RIABody"/>
    <w:next w:val="RIABody"/>
    <w:uiPriority w:val="71"/>
    <w:qFormat/>
    <w:pPr>
      <w:pBdr>
        <w:top w:val="single" w:sz="4" w:space="6" w:color="D5DCE1"/>
      </w:pBdr>
      <w:tabs>
        <w:tab w:val="right" w:pos="9752"/>
      </w:tabs>
      <w:spacing w:before="0" w:after="0"/>
    </w:pPr>
    <w:rPr>
      <w:color w:val="5B6770"/>
      <w:sz w:val="20"/>
      <w:szCs w:val="20"/>
    </w:rPr>
  </w:style>
  <w:style w:type="paragraph" w:customStyle="1" w:styleId="RIALetterhead">
    <w:name w:val="R&amp;IA Letterhead"/>
    <w:basedOn w:val="RIABody"/>
    <w:next w:val="RIABody"/>
    <w:uiPriority w:val="72"/>
    <w:qFormat/>
    <w:pPr>
      <w:spacing w:before="0" w:after="0" w:line="300" w:lineRule="auto"/>
      <w:jc w:val="right"/>
    </w:pPr>
    <w:rPr>
      <w:color w:val="5B6770"/>
      <w:sz w:val="20"/>
      <w:szCs w:val="20"/>
    </w:rPr>
  </w:style>
  <w:style w:type="paragraph" w:styleId="TOC1">
    <w:name w:val="toc 1"/>
    <w:basedOn w:val="RIABody"/>
    <w:next w:val="RIABody"/>
    <w:uiPriority w:val="39"/>
    <w:semiHidden/>
    <w:unhideWhenUsed/>
    <w:pPr>
      <w:tabs>
        <w:tab w:val="left" w:pos="567"/>
        <w:tab w:val="right" w:leader="dot" w:pos="9752"/>
      </w:tabs>
      <w:spacing w:before="100" w:after="100" w:line="240" w:lineRule="auto"/>
      <w:ind w:left="567" w:hanging="567"/>
    </w:pPr>
    <w:rPr>
      <w:sz w:val="24"/>
      <w:szCs w:val="24"/>
    </w:rPr>
  </w:style>
  <w:style w:type="paragraph" w:styleId="TOC2">
    <w:name w:val="toc 2"/>
    <w:basedOn w:val="RIABody"/>
    <w:next w:val="RIABody"/>
    <w:uiPriority w:val="39"/>
    <w:semiHidden/>
    <w:unhideWhenUsed/>
    <w:pPr>
      <w:tabs>
        <w:tab w:val="left" w:pos="1134"/>
        <w:tab w:val="right" w:leader="dot" w:pos="9752"/>
      </w:tabs>
      <w:spacing w:before="40" w:after="40" w:line="240" w:lineRule="auto"/>
      <w:ind w:left="1134" w:hanging="567"/>
    </w:pPr>
    <w:rPr>
      <w:color w:val="5B6770"/>
      <w:sz w:val="23"/>
      <w:szCs w:val="23"/>
    </w:rPr>
  </w:style>
  <w:style w:type="paragraph" w:styleId="TOC3">
    <w:name w:val="toc 3"/>
    <w:basedOn w:val="RIABody"/>
    <w:next w:val="RIABody"/>
    <w:uiPriority w:val="39"/>
    <w:semiHidden/>
    <w:unhideWhenUsed/>
    <w:pPr>
      <w:tabs>
        <w:tab w:val="left" w:pos="1871"/>
        <w:tab w:val="right" w:leader="dot" w:pos="9752"/>
      </w:tabs>
      <w:spacing w:before="20" w:after="20" w:line="240" w:lineRule="auto"/>
      <w:ind w:left="1871" w:hanging="737"/>
    </w:pPr>
    <w:rPr>
      <w:color w:val="5B6770"/>
    </w:rPr>
  </w:style>
  <w:style w:type="paragraph" w:styleId="FootnoteText">
    <w:name w:val="footnote text"/>
    <w:basedOn w:val="RIABody"/>
    <w:uiPriority w:val="99"/>
    <w:semiHidden/>
    <w:unhideWhenUsed/>
    <w:pPr>
      <w:spacing w:before="0" w:after="80" w:line="240" w:lineRule="auto"/>
    </w:pPr>
    <w:rPr>
      <w:sz w:val="20"/>
      <w:szCs w:val="20"/>
    </w:rPr>
  </w:style>
  <w:style w:type="paragraph" w:styleId="EndnoteText">
    <w:name w:val="endnote text"/>
    <w:basedOn w:val="RIABody"/>
    <w:uiPriority w:val="99"/>
    <w:semiHidden/>
    <w:unhideWhenUsed/>
    <w:pPr>
      <w:spacing w:before="0" w:after="80" w:line="240" w:lineRule="auto"/>
    </w:pPr>
    <w:rPr>
      <w:sz w:val="20"/>
      <w:szCs w:val="20"/>
    </w:rPr>
  </w:style>
  <w:style w:type="paragraph" w:styleId="Caption">
    <w:name w:val="caption"/>
    <w:basedOn w:val="RIACaption"/>
    <w:next w:val="RIABody"/>
    <w:uiPriority w:val="35"/>
    <w:semiHidden/>
    <w:unhideWhenUsed/>
  </w:style>
  <w:style w:type="paragraph" w:styleId="Header">
    <w:name w:val="header"/>
    <w:basedOn w:val="RIAHeader"/>
    <w:uiPriority w:val="99"/>
    <w:semiHidden/>
    <w:unhideWhenUsed/>
  </w:style>
  <w:style w:type="paragraph" w:styleId="Footer">
    <w:name w:val="footer"/>
    <w:basedOn w:val="RIAFooter"/>
    <w:uiPriority w:val="99"/>
    <w:semiHidden/>
    <w:unhideWhenUsed/>
  </w:style>
  <w:style w:type="character" w:customStyle="1" w:styleId="RIAStrong">
    <w:name w:val="R&amp;IA Strong"/>
    <w:basedOn w:val="DefaultParagraphFont"/>
    <w:uiPriority w:val="80"/>
    <w:qFormat/>
    <w:rPr>
      <w:b/>
      <w:bCs/>
    </w:rPr>
  </w:style>
  <w:style w:type="character" w:customStyle="1" w:styleId="RIAEmphasis">
    <w:name w:val="R&amp;IA Emphasis"/>
    <w:basedOn w:val="DefaultParagraphFont"/>
    <w:uiPriority w:val="81"/>
    <w:qFormat/>
    <w:rPr>
      <w:i/>
      <w:iCs/>
    </w:rPr>
  </w:style>
  <w:style w:type="character" w:customStyle="1" w:styleId="RIALabelText">
    <w:name w:val="R&amp;IA Label Text"/>
    <w:basedOn w:val="DefaultParagraphFont"/>
    <w:uiPriority w:val="82"/>
    <w:qFormat/>
    <w:rPr>
      <w:rFonts w:ascii="Montserrat" w:eastAsia="Montserrat" w:hAnsi="Montserrat" w:cs="Montserrat"/>
      <w:b/>
      <w:bCs/>
      <w:caps/>
      <w:color w:val="17775A"/>
      <w:spacing w:val="30"/>
    </w:rPr>
  </w:style>
  <w:style w:type="character" w:customStyle="1" w:styleId="RIAAttribution">
    <w:name w:val="R&amp;IA Attribution"/>
    <w:basedOn w:val="DefaultParagraphFont"/>
    <w:uiPriority w:val="83"/>
    <w:qFormat/>
    <w:rPr>
      <w:i w:val="0"/>
      <w:iCs w:val="0"/>
      <w:color w:val="5B6770"/>
      <w:sz w:val="20"/>
      <w:szCs w:val="20"/>
    </w:rPr>
  </w:style>
  <w:style w:type="character" w:customStyle="1" w:styleId="RIAMuted">
    <w:name w:val="R&amp;IA Muted"/>
    <w:basedOn w:val="DefaultParagraphFont"/>
    <w:uiPriority w:val="84"/>
    <w:qFormat/>
    <w:rPr>
      <w:color w:val="5B6770"/>
    </w:rPr>
  </w:style>
  <w:style w:type="character" w:styleId="Hyperlink">
    <w:name w:val="Hyperlink"/>
    <w:basedOn w:val="DefaultParagraphFont"/>
    <w:uiPriority w:val="99"/>
    <w:semiHidden/>
    <w:unhideWhenUsed/>
    <w:rPr>
      <w:color w:val="17775A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table" w:customStyle="1" w:styleId="RIATable">
    <w:name w:val="R&amp;IA Table"/>
    <w:uiPriority w:val="90"/>
    <w:qFormat/>
    <w:pPr>
      <w:spacing w:after="0"/>
    </w:pPr>
    <w:tblPr>
      <w:tblInd w:w="0" w:type="dxa"/>
      <w:tblBorders>
        <w:top w:val="single" w:sz="4" w:space="0" w:color="BFC8D0"/>
        <w:left w:val="single" w:sz="4" w:space="0" w:color="BFC8D0"/>
        <w:bottom w:val="single" w:sz="4" w:space="0" w:color="BFC8D0"/>
        <w:right w:val="single" w:sz="4" w:space="0" w:color="BFC8D0"/>
        <w:insideH w:val="single" w:sz="4" w:space="0" w:color="BFC8D0"/>
        <w:insideV w:val="single" w:sz="4" w:space="0" w:color="BFC8D0"/>
      </w:tblBorders>
      <w:tblCellMar>
        <w:top w:w="70" w:type="dxa"/>
        <w:left w:w="120" w:type="dxa"/>
        <w:bottom w:w="70" w:type="dxa"/>
        <w:right w:w="120" w:type="dxa"/>
      </w:tblCellMar>
    </w:tblPr>
    <w:tcPr>
      <w:vAlign w:val="center"/>
    </w:tcPr>
    <w:tblStylePr w:type="firstRow">
      <w:tblPr/>
      <w:trPr>
        <w:tblHeader/>
      </w:trPr>
      <w:tcPr>
        <w:shd w:val="clear" w:color="auto" w:fill="0E2A47"/>
      </w:tcPr>
    </w:tblStylePr>
  </w:style>
  <w:style w:type="table" w:customStyle="1" w:styleId="RIAKeyTable">
    <w:name w:val="R&amp;IA Key Table"/>
    <w:uiPriority w:val="91"/>
    <w:qFormat/>
    <w:pPr>
      <w:spacing w:after="0"/>
    </w:pPr>
    <w:tblPr>
      <w:tblInd w:w="0" w:type="dxa"/>
      <w:tblBorders>
        <w:top w:val="single" w:sz="4" w:space="0" w:color="BFC8D0"/>
        <w:left w:val="single" w:sz="4" w:space="0" w:color="BFC8D0"/>
        <w:bottom w:val="single" w:sz="4" w:space="0" w:color="BFC8D0"/>
        <w:right w:val="single" w:sz="4" w:space="0" w:color="BFC8D0"/>
        <w:insideH w:val="single" w:sz="4" w:space="0" w:color="BFC8D0"/>
        <w:insideV w:val="single" w:sz="4" w:space="0" w:color="BFC8D0"/>
      </w:tblBorders>
      <w:tblCellMar>
        <w:top w:w="70" w:type="dxa"/>
        <w:left w:w="120" w:type="dxa"/>
        <w:bottom w:w="70" w:type="dxa"/>
        <w:right w:w="120" w:type="dxa"/>
      </w:tblCellMar>
    </w:tblPr>
    <w:tcPr>
      <w:vAlign w:val="center"/>
    </w:tcPr>
    <w:tblStylePr w:type="firstRow">
      <w:tblPr/>
      <w:tcPr>
        <w:shd w:val="clear" w:color="auto" w:fill="0E2A47"/>
      </w:tcPr>
    </w:tblStylePr>
    <w:tblStylePr w:type="firstCol">
      <w:tblPr/>
      <w:tcPr>
        <w:shd w:val="clear" w:color="auto" w:fill="F2F5F7"/>
      </w:tcPr>
    </w:tblStylePr>
  </w:style>
  <w:style w:type="table" w:customStyle="1" w:styleId="RIADetailsTable">
    <w:name w:val="R&amp;IA Details Table"/>
    <w:uiPriority w:val="92"/>
    <w:qFormat/>
    <w:pPr>
      <w:spacing w:after="0"/>
    </w:pPr>
    <w:tblPr>
      <w:tblStyleColBandSize w:val="1"/>
      <w:tblInd w:w="0" w:type="dxa"/>
      <w:tblBorders>
        <w:top w:val="single" w:sz="4" w:space="0" w:color="D5DCE1"/>
        <w:left w:val="single" w:sz="4" w:space="0" w:color="D5DCE1"/>
        <w:bottom w:val="single" w:sz="4" w:space="0" w:color="D5DCE1"/>
        <w:right w:val="single" w:sz="4" w:space="0" w:color="D5DCE1"/>
        <w:insideH w:val="single" w:sz="4" w:space="0" w:color="D5DCE1"/>
        <w:insideV w:val="single" w:sz="4" w:space="0" w:color="D5DCE1"/>
      </w:tblBorders>
      <w:tblCellMar>
        <w:top w:w="100" w:type="dxa"/>
        <w:left w:w="150" w:type="dxa"/>
        <w:bottom w:w="100" w:type="dxa"/>
        <w:right w:w="150" w:type="dxa"/>
      </w:tblCellMar>
    </w:tblPr>
    <w:tcPr>
      <w:vAlign w:val="center"/>
    </w:tcPr>
    <w:tblStylePr w:type="band1Vert">
      <w:tblPr/>
      <w:tcPr>
        <w:shd w:val="clear" w:color="auto" w:fill="EEF3F6"/>
      </w:tcPr>
    </w:tblStylePr>
  </w:style>
  <w:style w:type="table" w:customStyle="1" w:styleId="RIACalloutBox">
    <w:name w:val="R&amp;IA Callout Box"/>
    <w:uiPriority w:val="93"/>
    <w:qFormat/>
    <w:pPr>
      <w:spacing w:after="0"/>
    </w:pPr>
    <w:tblPr>
      <w:tblInd w:w="0" w:type="dxa"/>
      <w:tblBorders>
        <w:top w:val="nil"/>
        <w:left w:val="single" w:sz="30" w:space="0" w:color="28BA86"/>
        <w:bottom w:val="nil"/>
        <w:right w:val="nil"/>
        <w:insideH w:val="nil"/>
        <w:insideV w:val="nil"/>
      </w:tblBorders>
      <w:tblCellMar>
        <w:top w:w="170" w:type="dxa"/>
        <w:left w:w="280" w:type="dxa"/>
        <w:bottom w:w="170" w:type="dxa"/>
        <w:right w:w="280" w:type="dxa"/>
      </w:tblCellMar>
    </w:tblPr>
    <w:trPr>
      <w:cantSplit/>
    </w:trPr>
    <w:tcPr>
      <w:shd w:val="clear" w:color="auto" w:fill="EEF3F6"/>
    </w:tcPr>
  </w:style>
  <w:style w:type="table" w:customStyle="1" w:styleId="RIAQuestionBox">
    <w:name w:val="R&amp;IA Question Box"/>
    <w:uiPriority w:val="94"/>
    <w:qFormat/>
    <w:pPr>
      <w:spacing w:after="0"/>
    </w:pPr>
    <w:tblPr>
      <w:tblInd w:w="0" w:type="dxa"/>
      <w:tblBorders>
        <w:top w:val="single" w:sz="4" w:space="0" w:color="D5DCE1"/>
        <w:left w:val="single" w:sz="30" w:space="0" w:color="0E2A47"/>
        <w:bottom w:val="single" w:sz="4" w:space="0" w:color="D5DCE1"/>
        <w:right w:val="single" w:sz="4" w:space="0" w:color="D5DCE1"/>
        <w:insideH w:val="nil"/>
        <w:insideV w:val="nil"/>
      </w:tblBorders>
      <w:tblCellMar>
        <w:top w:w="170" w:type="dxa"/>
        <w:left w:w="280" w:type="dxa"/>
        <w:bottom w:w="170" w:type="dxa"/>
        <w:right w:w="280" w:type="dxa"/>
      </w:tblCellMar>
    </w:tblPr>
    <w:trPr>
      <w:cantSplit/>
    </w:trPr>
  </w:style>
  <w:style w:type="table" w:customStyle="1" w:styleId="RIALayoutTable">
    <w:name w:val="R&amp;IA Layout Table"/>
    <w:uiPriority w:val="95"/>
    <w:qFormat/>
    <w:pPr>
      <w:spacing w:after="0"/>
    </w:pPr>
    <w:tblPr>
      <w:tblInd w:w="0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top w:w="0" w:type="dxa"/>
        <w:left w:w="10" w:type="dxa"/>
        <w:bottom w:w="0" w:type="dxa"/>
        <w:right w:w="10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35A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R&amp;IA-2026-048 Media Release – PC Housing Supply Regulation submission</vt:lpstr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R&amp;IA-2026-048 Media Release – PC Housing Supply Regulation submission</dc:title>
  <dc:creator>Rights &amp; Inclusion Australia Inc.</dc:creator>
  <cp:lastModifiedBy>Michael Fox</cp:lastModifiedBy>
  <cp:revision>5</cp:revision>
  <dcterms:created xsi:type="dcterms:W3CDTF">2026-10-16T01:40:00Z</dcterms:created>
  <dcterms:modified xsi:type="dcterms:W3CDTF">2026-10-16T01:57:00Z</dcterms:modified>
</cp:coreProperties>
</file>